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13F" w:rsidRDefault="0027113F" w:rsidP="0027113F">
      <w:pPr>
        <w:rPr>
          <w:rFonts w:cs="B Titr" w:hint="cs"/>
          <w:rtl/>
          <w:lang w:bidi="fa-IR"/>
        </w:rPr>
      </w:pPr>
    </w:p>
    <w:p w:rsidR="0027113F" w:rsidRDefault="0027113F" w:rsidP="0027113F">
      <w:pPr>
        <w:autoSpaceDE w:val="0"/>
        <w:autoSpaceDN w:val="0"/>
        <w:adjustRightInd w:val="0"/>
        <w:ind w:left="284"/>
        <w:jc w:val="both"/>
        <w:rPr>
          <w:rFonts w:cs="B Nazanin"/>
          <w:b/>
          <w:bCs/>
          <w:sz w:val="26"/>
          <w:szCs w:val="26"/>
          <w:rtl/>
          <w:lang w:bidi="fa-IR"/>
        </w:rPr>
      </w:pPr>
    </w:p>
    <w:p w:rsidR="0027113F" w:rsidRDefault="0027113F" w:rsidP="0027113F">
      <w:pPr>
        <w:autoSpaceDE w:val="0"/>
        <w:autoSpaceDN w:val="0"/>
        <w:adjustRightInd w:val="0"/>
        <w:ind w:left="284"/>
        <w:jc w:val="both"/>
        <w:rPr>
          <w:rFonts w:cs="B Nazanin"/>
          <w:b/>
          <w:bCs/>
          <w:sz w:val="26"/>
          <w:szCs w:val="26"/>
          <w:rtl/>
          <w:lang w:bidi="fa-IR"/>
        </w:rPr>
      </w:pPr>
    </w:p>
    <w:p w:rsidR="0027113F" w:rsidRDefault="0027113F" w:rsidP="0027113F">
      <w:pPr>
        <w:spacing w:after="200"/>
        <w:jc w:val="both"/>
        <w:rPr>
          <w:rFonts w:cs="B Nazanin"/>
          <w:b/>
          <w:bCs/>
          <w:sz w:val="22"/>
          <w:szCs w:val="28"/>
          <w:rtl/>
          <w:lang w:bidi="fa-IR"/>
        </w:rPr>
      </w:pPr>
      <w:r>
        <w:rPr>
          <w:rFonts w:cs="B Nazanin" w:hint="cs"/>
          <w:b/>
          <w:bCs/>
          <w:sz w:val="22"/>
          <w:szCs w:val="28"/>
          <w:rtl/>
          <w:lang w:bidi="fa-IR"/>
        </w:rPr>
        <w:t xml:space="preserve">مرحله اول: بررسی پارامترهای موثر در مکانیزم سایش از قبیل توزیع اندازه ذرات کاتالیست، سرعت جریان در مسیر </w:t>
      </w:r>
      <w:r>
        <w:rPr>
          <w:rFonts w:ascii="Calibri" w:hAnsi="Calibri"/>
          <w:b/>
          <w:bCs/>
        </w:rPr>
        <w:t>TSS</w:t>
      </w:r>
      <w:r>
        <w:rPr>
          <w:rFonts w:cs="B Nazanin" w:hint="cs"/>
          <w:b/>
          <w:bCs/>
          <w:sz w:val="22"/>
          <w:szCs w:val="28"/>
          <w:rtl/>
          <w:lang w:bidi="fa-IR"/>
        </w:rPr>
        <w:t xml:space="preserve"> به </w:t>
      </w:r>
      <w:r>
        <w:rPr>
          <w:rFonts w:ascii="Calibri" w:hAnsi="Calibri"/>
          <w:b/>
          <w:bCs/>
        </w:rPr>
        <w:t>FSS</w:t>
      </w:r>
      <w:r>
        <w:rPr>
          <w:rFonts w:cs="B Nazanin" w:hint="cs"/>
          <w:b/>
          <w:bCs/>
          <w:sz w:val="22"/>
          <w:szCs w:val="28"/>
          <w:rtl/>
          <w:lang w:bidi="fa-IR"/>
        </w:rPr>
        <w:t>، دمای مخلوط گاز و کاتالیست:</w:t>
      </w:r>
    </w:p>
    <w:p w:rsidR="0027113F" w:rsidRDefault="0027113F" w:rsidP="0027113F">
      <w:pPr>
        <w:spacing w:after="200"/>
        <w:jc w:val="both"/>
        <w:rPr>
          <w:rFonts w:cs="B Nazanin"/>
          <w:sz w:val="22"/>
          <w:szCs w:val="28"/>
          <w:rtl/>
          <w:lang w:bidi="fa-IR"/>
        </w:rPr>
      </w:pPr>
      <w:r>
        <w:rPr>
          <w:rFonts w:cs="B Nazanin" w:hint="cs"/>
          <w:sz w:val="22"/>
          <w:szCs w:val="28"/>
          <w:rtl/>
          <w:lang w:bidi="fa-IR"/>
        </w:rPr>
        <w:t xml:space="preserve">براساس نتایج حاصل از آزمایشگاه مرکزی پالایشگاه در تاریخ </w:t>
      </w:r>
      <w:r>
        <w:rPr>
          <w:sz w:val="28"/>
          <w:szCs w:val="28"/>
        </w:rPr>
        <w:t xml:space="preserve">16/1/1395 </w:t>
      </w:r>
      <w:r>
        <w:rPr>
          <w:rFonts w:cs="B Nazanin" w:hint="cs"/>
          <w:sz w:val="22"/>
          <w:szCs w:val="28"/>
          <w:rtl/>
          <w:lang w:bidi="fa-IR"/>
        </w:rPr>
        <w:t xml:space="preserve">  آنالیز توزیع ذرات کاتالیست موجود است که بر اساس این نتایج و روش توزیع قطر ذرات </w:t>
      </w:r>
      <w:r>
        <w:rPr>
          <w:sz w:val="28"/>
          <w:szCs w:val="28"/>
          <w:shd w:val="clear" w:color="auto" w:fill="FFFFFF"/>
        </w:rPr>
        <w:t>Rosin-</w:t>
      </w:r>
      <w:proofErr w:type="spellStart"/>
      <w:r>
        <w:rPr>
          <w:sz w:val="28"/>
          <w:szCs w:val="28"/>
          <w:shd w:val="clear" w:color="auto" w:fill="FFFFFF"/>
        </w:rPr>
        <w:t>Rammler</w:t>
      </w:r>
      <w:proofErr w:type="spellEnd"/>
      <w:r>
        <w:rPr>
          <w:rFonts w:ascii="Tahoma" w:hAnsi="Tahoma" w:cs="Tahoma"/>
          <w:b/>
          <w:bCs/>
          <w:sz w:val="34"/>
          <w:szCs w:val="34"/>
          <w:shd w:val="clear" w:color="auto" w:fill="FFFFFF"/>
          <w:rtl/>
        </w:rPr>
        <w:t xml:space="preserve"> </w:t>
      </w:r>
      <w:r>
        <w:rPr>
          <w:rFonts w:cs="B Nazanin" w:hint="cs"/>
          <w:sz w:val="22"/>
          <w:szCs w:val="28"/>
          <w:rtl/>
          <w:lang w:bidi="fa-IR"/>
        </w:rPr>
        <w:t xml:space="preserve">ثابت های این روش نیاز است محاسبه شوند. </w:t>
      </w:r>
      <w:r>
        <w:rPr>
          <w:rFonts w:cs="B Nazanin" w:hint="cs"/>
          <w:sz w:val="28"/>
          <w:szCs w:val="28"/>
          <w:rtl/>
          <w:lang w:bidi="fa-IR"/>
        </w:rPr>
        <w:t xml:space="preserve">براساس بررسی نقشه های </w:t>
      </w:r>
      <w:r>
        <w:rPr>
          <w:rFonts w:cs="B Nazanin"/>
          <w:sz w:val="28"/>
          <w:szCs w:val="28"/>
        </w:rPr>
        <w:t>PFD</w:t>
      </w:r>
      <w:r>
        <w:rPr>
          <w:rFonts w:cs="B Nazanin" w:hint="cs"/>
          <w:sz w:val="28"/>
          <w:szCs w:val="28"/>
          <w:rtl/>
          <w:lang w:bidi="fa-IR"/>
        </w:rPr>
        <w:t xml:space="preserve"> و </w:t>
      </w:r>
      <w:r>
        <w:rPr>
          <w:rFonts w:cs="B Nazanin"/>
          <w:sz w:val="28"/>
          <w:szCs w:val="28"/>
        </w:rPr>
        <w:t>P&amp;ID</w:t>
      </w:r>
      <w:r>
        <w:rPr>
          <w:rFonts w:cs="B Nazanin" w:hint="cs"/>
          <w:sz w:val="22"/>
          <w:szCs w:val="28"/>
          <w:rtl/>
          <w:lang w:bidi="fa-IR"/>
        </w:rPr>
        <w:t xml:space="preserve"> فاز 3 واحد کت کراکر اطلاعات جریان و دما و فشار مسیر استخراج شوند.</w:t>
      </w:r>
    </w:p>
    <w:p w:rsidR="0027113F" w:rsidRDefault="0027113F" w:rsidP="0027113F">
      <w:pPr>
        <w:spacing w:after="200"/>
        <w:jc w:val="both"/>
        <w:rPr>
          <w:rFonts w:cs="B Nazanin"/>
          <w:b/>
          <w:bCs/>
          <w:sz w:val="22"/>
          <w:szCs w:val="28"/>
          <w:rtl/>
          <w:lang w:bidi="fa-IR"/>
        </w:rPr>
      </w:pPr>
      <w:r>
        <w:rPr>
          <w:rFonts w:cs="B Nazanin" w:hint="cs"/>
          <w:b/>
          <w:bCs/>
          <w:sz w:val="22"/>
          <w:szCs w:val="28"/>
          <w:rtl/>
          <w:lang w:bidi="fa-IR"/>
        </w:rPr>
        <w:t>مرحله دوم: انتخاب مدل مناسب از میان مدلهای موجود ارائه شده جهت سایش:</w:t>
      </w:r>
    </w:p>
    <w:p w:rsidR="0027113F" w:rsidRDefault="0027113F" w:rsidP="0027113F">
      <w:pPr>
        <w:spacing w:after="200"/>
        <w:jc w:val="both"/>
        <w:rPr>
          <w:rFonts w:cs="B Nazanin"/>
          <w:color w:val="000000"/>
          <w:sz w:val="28"/>
          <w:szCs w:val="28"/>
          <w:rtl/>
          <w:lang w:bidi="fa-IR"/>
        </w:rPr>
      </w:pPr>
      <w:r>
        <w:rPr>
          <w:rFonts w:cs="B Nazanin" w:hint="cs"/>
          <w:sz w:val="22"/>
          <w:szCs w:val="28"/>
          <w:rtl/>
          <w:lang w:bidi="fa-IR"/>
        </w:rPr>
        <w:t xml:space="preserve">تاکنون مدلهای مختلفی جهت سایش توسط محققان ارائه شده اند که هر کدام مناسب شرایط خاص خود براساس سیال و سرعت جریان می باشند. از مدلهای شناخته شده قابل بررسی می توان  به مدل ارائه شده توسط مرکز تحقیقات دانشگاه </w:t>
      </w:r>
      <w:r>
        <w:rPr>
          <w:rFonts w:cs="B Nazanin"/>
          <w:sz w:val="28"/>
          <w:szCs w:val="28"/>
          <w:shd w:val="clear" w:color="auto" w:fill="FFFFFF"/>
        </w:rPr>
        <w:t>Tulsa</w:t>
      </w:r>
      <w:r>
        <w:rPr>
          <w:rFonts w:cs="B Nazanin" w:hint="cs"/>
          <w:sz w:val="28"/>
          <w:szCs w:val="28"/>
          <w:shd w:val="clear" w:color="auto" w:fill="FFFFFF"/>
          <w:rtl/>
          <w:lang w:bidi="fa-IR"/>
        </w:rPr>
        <w:t xml:space="preserve"> ، مدل </w:t>
      </w:r>
      <w:r>
        <w:rPr>
          <w:szCs w:val="32"/>
        </w:rPr>
        <w:t>OKA</w:t>
      </w:r>
      <w:r>
        <w:rPr>
          <w:rFonts w:cs="B Nazanin" w:hint="cs"/>
          <w:sz w:val="22"/>
          <w:szCs w:val="28"/>
          <w:rtl/>
          <w:lang w:bidi="fa-IR"/>
        </w:rPr>
        <w:t xml:space="preserve">، مدل </w:t>
      </w:r>
      <w:r>
        <w:rPr>
          <w:rFonts w:cs="B Nazanin"/>
          <w:color w:val="000000"/>
          <w:sz w:val="28"/>
          <w:szCs w:val="28"/>
        </w:rPr>
        <w:t>MCLAURY</w:t>
      </w:r>
      <w:r>
        <w:rPr>
          <w:rFonts w:cs="B Nazanin" w:hint="cs"/>
          <w:color w:val="000000"/>
          <w:sz w:val="28"/>
          <w:szCs w:val="28"/>
          <w:rtl/>
          <w:lang w:bidi="fa-IR"/>
        </w:rPr>
        <w:t xml:space="preserve"> و مدل </w:t>
      </w:r>
      <w:r>
        <w:rPr>
          <w:rFonts w:cs="B Nazanin"/>
          <w:color w:val="000000"/>
          <w:sz w:val="28"/>
          <w:szCs w:val="28"/>
        </w:rPr>
        <w:t>GENERIC</w:t>
      </w:r>
      <w:r>
        <w:rPr>
          <w:rFonts w:cs="B Nazanin" w:hint="cs"/>
          <w:color w:val="000000"/>
          <w:sz w:val="28"/>
          <w:szCs w:val="28"/>
          <w:rtl/>
          <w:lang w:bidi="fa-IR"/>
        </w:rPr>
        <w:t xml:space="preserve"> اشاره کرد. انتظار می رود دانشجو براساس بررسی نقشه های </w:t>
      </w:r>
      <w:r>
        <w:rPr>
          <w:rFonts w:cs="B Nazanin"/>
          <w:color w:val="000000"/>
          <w:sz w:val="28"/>
          <w:szCs w:val="28"/>
        </w:rPr>
        <w:t>PFD</w:t>
      </w:r>
      <w:r>
        <w:rPr>
          <w:rFonts w:cs="B Nazanin" w:hint="cs"/>
          <w:color w:val="000000"/>
          <w:sz w:val="28"/>
          <w:szCs w:val="28"/>
          <w:rtl/>
          <w:lang w:bidi="fa-IR"/>
        </w:rPr>
        <w:t xml:space="preserve"> و </w:t>
      </w:r>
      <w:r>
        <w:rPr>
          <w:rFonts w:cs="B Nazanin"/>
          <w:color w:val="000000"/>
          <w:sz w:val="28"/>
          <w:szCs w:val="28"/>
        </w:rPr>
        <w:t>P&amp;ID</w:t>
      </w:r>
      <w:r>
        <w:rPr>
          <w:rFonts w:cs="B Nazanin" w:hint="cs"/>
          <w:color w:val="000000"/>
          <w:sz w:val="28"/>
          <w:szCs w:val="28"/>
          <w:rtl/>
          <w:lang w:bidi="fa-IR"/>
        </w:rPr>
        <w:t xml:space="preserve"> موجود مدل مناسب را جهت ادامه کار انتخاب کند. این احتمال نیز وجود دارد که دو مدل، تطابق مناسبی جهت ادامه کار داشته باشند که در این شرایط لازم است در صورت رد یا انتخاب هر مدل با استدلال مناسب به بررسی هرکدام پرداخته شوند.</w:t>
      </w:r>
    </w:p>
    <w:p w:rsidR="0027113F" w:rsidRDefault="0027113F" w:rsidP="0027113F">
      <w:pPr>
        <w:spacing w:after="200"/>
        <w:jc w:val="both"/>
        <w:rPr>
          <w:rFonts w:cs="B Nazanin"/>
          <w:sz w:val="22"/>
          <w:szCs w:val="28"/>
          <w:rtl/>
          <w:lang w:bidi="fa-IR"/>
        </w:rPr>
      </w:pPr>
      <w:r>
        <w:rPr>
          <w:rFonts w:cs="B Nazanin" w:hint="cs"/>
          <w:b/>
          <w:bCs/>
          <w:sz w:val="22"/>
          <w:szCs w:val="28"/>
          <w:rtl/>
          <w:lang w:bidi="fa-IR"/>
        </w:rPr>
        <w:t xml:space="preserve">مرحله سوم: انجام آزمایشات براساس استاندارد </w:t>
      </w:r>
      <w:r>
        <w:rPr>
          <w:rFonts w:ascii="Calibri" w:hAnsi="Calibri"/>
          <w:b/>
          <w:bCs/>
        </w:rPr>
        <w:t>ASTM</w:t>
      </w:r>
      <w:r>
        <w:rPr>
          <w:rFonts w:cs="B Nazanin" w:hint="cs"/>
          <w:b/>
          <w:bCs/>
          <w:sz w:val="22"/>
          <w:szCs w:val="28"/>
          <w:rtl/>
          <w:lang w:bidi="fa-IR"/>
        </w:rPr>
        <w:t xml:space="preserve"> جهت بدست آوردن ثابت های تجربی و توابعی همچون تابع زوایه برخورد مطابق با شرایط موجود: </w:t>
      </w:r>
    </w:p>
    <w:p w:rsidR="0027113F" w:rsidRDefault="0027113F" w:rsidP="0027113F">
      <w:pPr>
        <w:spacing w:after="200"/>
        <w:jc w:val="both"/>
        <w:rPr>
          <w:rFonts w:cs="B Nazanin"/>
          <w:sz w:val="22"/>
          <w:szCs w:val="28"/>
          <w:rtl/>
          <w:lang w:bidi="fa-IR"/>
        </w:rPr>
      </w:pPr>
      <w:r>
        <w:rPr>
          <w:rFonts w:cs="B Nazanin" w:hint="cs"/>
          <w:sz w:val="22"/>
          <w:szCs w:val="28"/>
          <w:rtl/>
          <w:lang w:bidi="fa-IR"/>
        </w:rPr>
        <w:t xml:space="preserve">در این مرحله با استفاده از نتایج بدست آمده در مراحل قبل براساس استاندارد </w:t>
      </w:r>
      <w:r>
        <w:rPr>
          <w:szCs w:val="32"/>
        </w:rPr>
        <w:t>ASTM</w:t>
      </w:r>
      <w:r>
        <w:rPr>
          <w:rFonts w:cs="B Nazanin" w:hint="cs"/>
          <w:sz w:val="22"/>
          <w:szCs w:val="28"/>
          <w:rtl/>
          <w:lang w:bidi="fa-IR"/>
        </w:rPr>
        <w:t xml:space="preserve"> به عنوان نمونه استاندارد </w:t>
      </w:r>
      <w:r>
        <w:rPr>
          <w:szCs w:val="32"/>
        </w:rPr>
        <w:t>ASTM G76-02</w:t>
      </w:r>
      <w:r>
        <w:rPr>
          <w:rFonts w:cs="B Nazanin" w:hint="cs"/>
          <w:sz w:val="22"/>
          <w:szCs w:val="28"/>
          <w:rtl/>
          <w:lang w:bidi="fa-IR"/>
        </w:rPr>
        <w:t xml:space="preserve"> ذرات کاتالیست مطابق با شرایط کاری (سرعت و دما و توزیع انداره ذرات) بر متریال پایه 316 و  </w:t>
      </w:r>
      <w:proofErr w:type="spellStart"/>
      <w:r>
        <w:rPr>
          <w:rFonts w:ascii="Calibri" w:hAnsi="Calibri"/>
        </w:rPr>
        <w:t>Stellite</w:t>
      </w:r>
      <w:proofErr w:type="spellEnd"/>
      <w:r>
        <w:rPr>
          <w:rFonts w:ascii="Calibri" w:hAnsi="Calibri"/>
        </w:rPr>
        <w:t xml:space="preserve"> 6</w:t>
      </w:r>
      <w:r>
        <w:rPr>
          <w:rFonts w:cs="B Nazanin" w:hint="cs"/>
          <w:sz w:val="22"/>
          <w:szCs w:val="28"/>
          <w:rtl/>
          <w:lang w:bidi="fa-IR"/>
        </w:rPr>
        <w:t xml:space="preserve"> ،ثابت های موجود و توابع مورد نیاز در مدل انتخابی سایش بدست آیند.</w:t>
      </w:r>
    </w:p>
    <w:p w:rsidR="0027113F" w:rsidRDefault="0027113F" w:rsidP="0027113F">
      <w:pPr>
        <w:spacing w:after="200"/>
        <w:jc w:val="both"/>
        <w:rPr>
          <w:rFonts w:cs="B Nazanin"/>
          <w:b/>
          <w:bCs/>
          <w:sz w:val="22"/>
          <w:szCs w:val="28"/>
          <w:rtl/>
          <w:lang w:bidi="fa-IR"/>
        </w:rPr>
      </w:pPr>
      <w:r>
        <w:rPr>
          <w:rFonts w:cs="B Nazanin" w:hint="cs"/>
          <w:b/>
          <w:bCs/>
          <w:sz w:val="22"/>
          <w:szCs w:val="28"/>
          <w:rtl/>
          <w:lang w:bidi="fa-IR"/>
        </w:rPr>
        <w:t>مرحله چهارم: ارائه نتایج بدست آمده به پالایشگاه جهت استفاده به عنوان ورودی پروژه شبیه سازی دینامیکی</w:t>
      </w:r>
    </w:p>
    <w:p w:rsidR="00A11030" w:rsidRDefault="00A11030" w:rsidP="0027113F">
      <w:pPr>
        <w:jc w:val="both"/>
      </w:pPr>
    </w:p>
    <w:sectPr w:rsidR="00A11030" w:rsidSect="0027113F">
      <w:pgSz w:w="11906" w:h="16838"/>
      <w:pgMar w:top="1440" w:right="1440" w:bottom="568"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113F"/>
    <w:rsid w:val="0027113F"/>
    <w:rsid w:val="003E194B"/>
    <w:rsid w:val="0071599E"/>
    <w:rsid w:val="007A4BF5"/>
    <w:rsid w:val="00A11030"/>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13F"/>
    <w:pPr>
      <w:bidi/>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5056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1330</Characters>
  <Application>Microsoft Office Word</Application>
  <DocSecurity>0</DocSecurity>
  <Lines>11</Lines>
  <Paragraphs>3</Paragraphs>
  <ScaleCrop>false</ScaleCrop>
  <Company/>
  <LinksUpToDate>false</LinksUpToDate>
  <CharactersWithSpaces>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830874</dc:creator>
  <cp:lastModifiedBy>INTERNET</cp:lastModifiedBy>
  <cp:revision>2</cp:revision>
  <dcterms:created xsi:type="dcterms:W3CDTF">2017-11-28T06:15:00Z</dcterms:created>
  <dcterms:modified xsi:type="dcterms:W3CDTF">2017-12-04T13:36:00Z</dcterms:modified>
</cp:coreProperties>
</file>